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6666A" w14:textId="14811AE3" w:rsidR="00691ACF" w:rsidRDefault="009C1BC8">
      <w:r>
        <w:t>FISCAL Year End Closing Checklist:</w:t>
      </w:r>
    </w:p>
    <w:p w14:paraId="0E5B0B50" w14:textId="77777777" w:rsidR="009C1BC8" w:rsidRDefault="009C1BC8" w:rsidP="009C1BC8">
      <w:pPr>
        <w:pStyle w:val="BodyText"/>
        <w:spacing w:line="276" w:lineRule="auto"/>
      </w:pPr>
      <w:r>
        <w:t xml:space="preserve">The </w:t>
      </w:r>
      <w:r>
        <w:rPr>
          <w:b/>
          <w:bCs/>
        </w:rPr>
        <w:t>Fiscal Year End function</w:t>
      </w:r>
      <w:r>
        <w:t xml:space="preserve"> FIYEND (</w:t>
      </w:r>
      <w:r>
        <w:rPr>
          <w:b/>
          <w:bCs/>
        </w:rPr>
        <w:t>Financials &gt; Period Processing &gt; Fiscal Year End</w:t>
      </w:r>
      <w:r>
        <w:t>)</w:t>
      </w:r>
    </w:p>
    <w:p w14:paraId="4F38AE47" w14:textId="2A119234" w:rsidR="009C1BC8" w:rsidRDefault="009C1BC8" w:rsidP="009C1BC8">
      <w:pPr>
        <w:pStyle w:val="BodyText"/>
        <w:spacing w:line="276" w:lineRule="auto"/>
      </w:pPr>
      <w:r>
        <w:t>closes a Company’s fiscal year and generates the corresponding accounting entries with the document type of NEW.</w:t>
      </w:r>
    </w:p>
    <w:p w14:paraId="61FB738C" w14:textId="77777777" w:rsidR="009C1BC8" w:rsidRDefault="009C1BC8" w:rsidP="009C1BC8">
      <w:pPr>
        <w:pStyle w:val="BodyText"/>
        <w:spacing w:line="276" w:lineRule="auto"/>
      </w:pPr>
      <w:r>
        <w:t>The fiscal year end processing is done on a single screen. Specify the company</w:t>
      </w:r>
      <w:r>
        <w:t xml:space="preserve"> [ZA10]</w:t>
      </w:r>
      <w:r>
        <w:t xml:space="preserve"> for which the fiscal year will be </w:t>
      </w:r>
    </w:p>
    <w:p w14:paraId="1977F57E" w14:textId="0D6E77ED" w:rsidR="009C1BC8" w:rsidRDefault="009C1BC8" w:rsidP="009C1BC8">
      <w:pPr>
        <w:pStyle w:val="BodyText"/>
        <w:spacing w:line="276" w:lineRule="auto"/>
      </w:pPr>
      <w:r>
        <w:t>closed the document type and the journal on which the new journal/document/invoices must be generated.  The start date for the</w:t>
      </w:r>
    </w:p>
    <w:p w14:paraId="56FAE665" w14:textId="0643B92A" w:rsidR="009C1BC8" w:rsidRDefault="009C1BC8" w:rsidP="009C1BC8">
      <w:pPr>
        <w:pStyle w:val="BodyText"/>
        <w:spacing w:line="276" w:lineRule="auto"/>
      </w:pPr>
      <w:r>
        <w:t>new fiscal year is automatically displayed.   After the process is launched, a log file will trace all processed operations.</w:t>
      </w:r>
    </w:p>
    <w:p w14:paraId="6F233F0C" w14:textId="36369171" w:rsidR="009C1BC8" w:rsidRDefault="009C1BC8" w:rsidP="009C1BC8">
      <w:pPr>
        <w:pStyle w:val="BodyText"/>
        <w:spacing w:line="276" w:lineRule="auto"/>
      </w:pPr>
    </w:p>
    <w:p w14:paraId="614780DF" w14:textId="77777777" w:rsidR="009C1BC8" w:rsidRDefault="009C1BC8" w:rsidP="009C1BC8">
      <w:pPr>
        <w:pStyle w:val="Default"/>
        <w:spacing w:line="276" w:lineRule="auto"/>
        <w:rPr>
          <w:rFonts w:cs="Times New Roman"/>
          <w:color w:val="auto"/>
          <w:sz w:val="20"/>
          <w:szCs w:val="20"/>
        </w:rPr>
      </w:pPr>
      <w:proofErr w:type="spellStart"/>
      <w:proofErr w:type="gramStart"/>
      <w:r>
        <w:t>NB:</w:t>
      </w:r>
      <w:r w:rsidRPr="00E54E6B">
        <w:rPr>
          <w:rFonts w:cs="Times New Roman"/>
          <w:b/>
          <w:color w:val="auto"/>
          <w:sz w:val="20"/>
          <w:szCs w:val="20"/>
        </w:rPr>
        <w:t>The</w:t>
      </w:r>
      <w:proofErr w:type="spellEnd"/>
      <w:proofErr w:type="gramEnd"/>
      <w:r w:rsidRPr="00E54E6B">
        <w:rPr>
          <w:rFonts w:cs="Times New Roman"/>
          <w:b/>
          <w:color w:val="auto"/>
          <w:sz w:val="20"/>
          <w:szCs w:val="20"/>
        </w:rPr>
        <w:t xml:space="preserve"> Year End Simulation function</w:t>
      </w:r>
      <w:r w:rsidRPr="00EF44ED">
        <w:rPr>
          <w:rFonts w:cs="Times New Roman"/>
          <w:color w:val="auto"/>
          <w:sz w:val="20"/>
          <w:szCs w:val="20"/>
        </w:rPr>
        <w:t xml:space="preserve"> should be run for the ‘new year’ prior to closing a fiscal year for the ‘current year’.</w:t>
      </w:r>
    </w:p>
    <w:p w14:paraId="10DEA993" w14:textId="77777777" w:rsidR="009C1BC8" w:rsidRDefault="009C1BC8" w:rsidP="009C1BC8">
      <w:pPr>
        <w:pStyle w:val="Default"/>
        <w:spacing w:line="276" w:lineRule="auto"/>
        <w:rPr>
          <w:sz w:val="20"/>
          <w:szCs w:val="20"/>
        </w:rPr>
      </w:pPr>
      <w:r>
        <w:rPr>
          <w:sz w:val="20"/>
          <w:szCs w:val="20"/>
        </w:rPr>
        <w:t xml:space="preserve">The </w:t>
      </w:r>
      <w:r w:rsidRPr="00EF44ED">
        <w:rPr>
          <w:sz w:val="20"/>
          <w:szCs w:val="20"/>
        </w:rPr>
        <w:t xml:space="preserve">Year End Simulation </w:t>
      </w:r>
      <w:r w:rsidRPr="00E54E6B">
        <w:rPr>
          <w:b/>
          <w:sz w:val="20"/>
          <w:szCs w:val="20"/>
        </w:rPr>
        <w:t>(SIMULFINEX - Financials &gt; Utilities &gt; Year End Simulation)</w:t>
      </w:r>
      <w:r>
        <w:rPr>
          <w:sz w:val="20"/>
          <w:szCs w:val="20"/>
        </w:rPr>
        <w:t xml:space="preserve"> can be run to simulate what the</w:t>
      </w:r>
    </w:p>
    <w:p w14:paraId="5A35E76C" w14:textId="77777777" w:rsidR="009C1BC8" w:rsidRDefault="009C1BC8" w:rsidP="009C1BC8">
      <w:pPr>
        <w:pStyle w:val="Default"/>
        <w:spacing w:line="276" w:lineRule="auto"/>
        <w:rPr>
          <w:sz w:val="20"/>
          <w:szCs w:val="20"/>
        </w:rPr>
      </w:pPr>
      <w:r>
        <w:rPr>
          <w:sz w:val="20"/>
          <w:szCs w:val="20"/>
        </w:rPr>
        <w:t xml:space="preserve"> Fiscal Year end function will do. It can be used for cases where the previous fiscal year must remain open for </w:t>
      </w:r>
      <w:proofErr w:type="gramStart"/>
      <w:r>
        <w:rPr>
          <w:sz w:val="20"/>
          <w:szCs w:val="20"/>
        </w:rPr>
        <w:t>a period of time</w:t>
      </w:r>
      <w:proofErr w:type="gramEnd"/>
    </w:p>
    <w:p w14:paraId="3E563CFC" w14:textId="77777777" w:rsidR="009C1BC8" w:rsidRDefault="009C1BC8" w:rsidP="009C1BC8">
      <w:pPr>
        <w:pStyle w:val="Default"/>
        <w:spacing w:line="276" w:lineRule="auto"/>
        <w:rPr>
          <w:sz w:val="20"/>
          <w:szCs w:val="20"/>
        </w:rPr>
      </w:pPr>
      <w:r>
        <w:rPr>
          <w:sz w:val="20"/>
          <w:szCs w:val="20"/>
        </w:rPr>
        <w:t xml:space="preserve"> into the current year. There are no journals created nor is the fiscal year closed but it will roll the balances forward for any asset</w:t>
      </w:r>
    </w:p>
    <w:p w14:paraId="5D6FB21F" w14:textId="068CA166" w:rsidR="009C1BC8" w:rsidRDefault="009C1BC8" w:rsidP="009C1BC8">
      <w:pPr>
        <w:pStyle w:val="Default"/>
        <w:spacing w:line="276" w:lineRule="auto"/>
        <w:rPr>
          <w:sz w:val="20"/>
          <w:szCs w:val="20"/>
        </w:rPr>
      </w:pPr>
      <w:r>
        <w:rPr>
          <w:sz w:val="20"/>
          <w:szCs w:val="20"/>
        </w:rPr>
        <w:t xml:space="preserve"> or liability accounts. Performing a yearend simulation allows you to run a trial balance for the new year without formally ‘closing’ the current year.</w:t>
      </w:r>
    </w:p>
    <w:p w14:paraId="5C1869DE" w14:textId="2FA2631C" w:rsidR="009C1BC8" w:rsidRDefault="009C1BC8" w:rsidP="009C1BC8">
      <w:pPr>
        <w:pStyle w:val="Default"/>
        <w:spacing w:line="276" w:lineRule="auto"/>
        <w:rPr>
          <w:sz w:val="20"/>
          <w:szCs w:val="20"/>
        </w:rPr>
      </w:pPr>
    </w:p>
    <w:p w14:paraId="37F141FE" w14:textId="67EDC089" w:rsidR="009C1BC8" w:rsidRDefault="009C1BC8" w:rsidP="009C1BC8">
      <w:pPr>
        <w:pStyle w:val="Default"/>
        <w:spacing w:line="276" w:lineRule="auto"/>
        <w:rPr>
          <w:b/>
          <w:bCs/>
          <w:color w:val="000000" w:themeColor="text1"/>
          <w:sz w:val="20"/>
          <w:szCs w:val="20"/>
          <w:u w:val="single"/>
        </w:rPr>
      </w:pPr>
      <w:r w:rsidRPr="009C1BC8">
        <w:rPr>
          <w:b/>
          <w:bCs/>
          <w:color w:val="000000" w:themeColor="text1"/>
          <w:sz w:val="20"/>
          <w:szCs w:val="20"/>
          <w:u w:val="single"/>
        </w:rPr>
        <w:t>A few Preliminary Setups</w:t>
      </w:r>
    </w:p>
    <w:p w14:paraId="27002D73" w14:textId="4CDC5AE9" w:rsidR="009C1BC8" w:rsidRDefault="009C1BC8" w:rsidP="009C1BC8">
      <w:pPr>
        <w:pStyle w:val="Default"/>
        <w:spacing w:line="276" w:lineRule="auto"/>
        <w:rPr>
          <w:b/>
          <w:bCs/>
          <w:color w:val="000000" w:themeColor="text1"/>
          <w:sz w:val="20"/>
          <w:szCs w:val="20"/>
          <w:u w:val="single"/>
        </w:rPr>
      </w:pPr>
    </w:p>
    <w:p w14:paraId="6B419247" w14:textId="77777777" w:rsidR="009C1BC8" w:rsidRDefault="009C1BC8" w:rsidP="009C1BC8">
      <w:pPr>
        <w:ind w:left="360"/>
        <w:rPr>
          <w:b/>
          <w:sz w:val="20"/>
        </w:rPr>
      </w:pPr>
    </w:p>
    <w:p w14:paraId="4D95B03E" w14:textId="117D0C95" w:rsidR="009C1BC8" w:rsidRDefault="009C1BC8" w:rsidP="009C1BC8">
      <w:pPr>
        <w:numPr>
          <w:ilvl w:val="0"/>
          <w:numId w:val="2"/>
        </w:numPr>
        <w:spacing w:after="0" w:line="240" w:lineRule="auto"/>
        <w:rPr>
          <w:bCs/>
          <w:sz w:val="20"/>
        </w:rPr>
      </w:pPr>
      <w:r w:rsidRPr="009C1BC8">
        <w:rPr>
          <w:bCs/>
          <w:sz w:val="20"/>
        </w:rPr>
        <w:t xml:space="preserve">Verify that NEWPR Document Type is created.  </w:t>
      </w:r>
    </w:p>
    <w:p w14:paraId="05586183" w14:textId="77777777" w:rsidR="009C1BC8" w:rsidRPr="009C1BC8" w:rsidRDefault="009C1BC8" w:rsidP="009C1BC8">
      <w:pPr>
        <w:spacing w:after="0" w:line="240" w:lineRule="auto"/>
        <w:ind w:left="360"/>
        <w:rPr>
          <w:bCs/>
          <w:sz w:val="20"/>
        </w:rPr>
      </w:pPr>
    </w:p>
    <w:p w14:paraId="3C987715" w14:textId="138CA2E6" w:rsidR="009C1BC8" w:rsidRDefault="009C1BC8" w:rsidP="009C1BC8">
      <w:pPr>
        <w:pStyle w:val="Default"/>
        <w:spacing w:line="276" w:lineRule="auto"/>
        <w:ind w:left="720"/>
        <w:rPr>
          <w:rFonts w:cs="Times New Roman"/>
          <w:b/>
          <w:bCs/>
          <w:color w:val="000000" w:themeColor="text1"/>
          <w:sz w:val="20"/>
          <w:szCs w:val="20"/>
          <w:u w:val="single"/>
        </w:rPr>
      </w:pPr>
      <w:r w:rsidRPr="009C1BC8">
        <w:rPr>
          <w:rFonts w:cs="Times New Roman"/>
          <w:b/>
          <w:bCs/>
          <w:color w:val="000000" w:themeColor="text1"/>
          <w:sz w:val="20"/>
          <w:szCs w:val="20"/>
          <w:u w:val="single"/>
        </w:rPr>
        <w:drawing>
          <wp:inline distT="0" distB="0" distL="0" distR="0" wp14:anchorId="55425ECF" wp14:editId="2F6B9B76">
            <wp:extent cx="7903564" cy="5695122"/>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911009" cy="5700486"/>
                    </a:xfrm>
                    <a:prstGeom prst="rect">
                      <a:avLst/>
                    </a:prstGeom>
                  </pic:spPr>
                </pic:pic>
              </a:graphicData>
            </a:graphic>
          </wp:inline>
        </w:drawing>
      </w:r>
    </w:p>
    <w:p w14:paraId="15521D4F" w14:textId="50E135C8" w:rsidR="009C1BC8" w:rsidRDefault="009C1BC8" w:rsidP="009C1BC8">
      <w:pPr>
        <w:pStyle w:val="Default"/>
        <w:spacing w:line="276" w:lineRule="auto"/>
        <w:ind w:left="720"/>
        <w:rPr>
          <w:rFonts w:cs="Times New Roman"/>
          <w:b/>
          <w:bCs/>
          <w:color w:val="000000" w:themeColor="text1"/>
          <w:sz w:val="20"/>
          <w:szCs w:val="20"/>
          <w:u w:val="single"/>
        </w:rPr>
      </w:pPr>
    </w:p>
    <w:p w14:paraId="60AD91F8" w14:textId="77777777" w:rsidR="009C1BC8" w:rsidRDefault="009C1BC8" w:rsidP="009C1BC8">
      <w:pPr>
        <w:numPr>
          <w:ilvl w:val="0"/>
          <w:numId w:val="2"/>
        </w:numPr>
        <w:spacing w:after="0" w:line="240" w:lineRule="auto"/>
        <w:rPr>
          <w:b/>
          <w:sz w:val="20"/>
        </w:rPr>
      </w:pPr>
      <w:r>
        <w:rPr>
          <w:rFonts w:cs="Times New Roman"/>
          <w:b/>
          <w:bCs/>
          <w:color w:val="000000" w:themeColor="text1"/>
          <w:sz w:val="20"/>
          <w:szCs w:val="20"/>
          <w:u w:val="single"/>
        </w:rPr>
        <w:t xml:space="preserve"> </w:t>
      </w:r>
      <w:r w:rsidRPr="00EF44ED">
        <w:rPr>
          <w:b/>
          <w:sz w:val="20"/>
        </w:rPr>
        <w:t xml:space="preserve">Verify that NEWPR </w:t>
      </w:r>
      <w:r>
        <w:rPr>
          <w:b/>
          <w:sz w:val="20"/>
        </w:rPr>
        <w:t>Journal Code is created.</w:t>
      </w:r>
    </w:p>
    <w:p w14:paraId="6AD92B18" w14:textId="1C8758B6" w:rsidR="009C1BC8" w:rsidRDefault="009C1BC8" w:rsidP="009C1BC8">
      <w:pPr>
        <w:pStyle w:val="Default"/>
        <w:spacing w:line="276" w:lineRule="auto"/>
        <w:rPr>
          <w:rFonts w:cs="Times New Roman"/>
          <w:b/>
          <w:bCs/>
          <w:color w:val="000000" w:themeColor="text1"/>
          <w:sz w:val="20"/>
          <w:szCs w:val="20"/>
          <w:u w:val="single"/>
        </w:rPr>
      </w:pPr>
    </w:p>
    <w:p w14:paraId="0F62FC50" w14:textId="1A3529FD" w:rsidR="009C1BC8" w:rsidRDefault="009C1BC8" w:rsidP="009C1BC8">
      <w:pPr>
        <w:pStyle w:val="Default"/>
        <w:spacing w:line="276" w:lineRule="auto"/>
        <w:rPr>
          <w:rFonts w:cs="Times New Roman"/>
          <w:b/>
          <w:bCs/>
          <w:color w:val="000000" w:themeColor="text1"/>
          <w:sz w:val="20"/>
          <w:szCs w:val="20"/>
          <w:u w:val="single"/>
        </w:rPr>
      </w:pPr>
      <w:r w:rsidRPr="009C1BC8">
        <w:rPr>
          <w:rFonts w:cs="Times New Roman"/>
          <w:b/>
          <w:bCs/>
          <w:color w:val="000000" w:themeColor="text1"/>
          <w:sz w:val="20"/>
          <w:szCs w:val="20"/>
          <w:u w:val="single"/>
        </w:rPr>
        <w:drawing>
          <wp:inline distT="0" distB="0" distL="0" distR="0" wp14:anchorId="0FB8B0BF" wp14:editId="3B6151C6">
            <wp:extent cx="8230023" cy="388004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30023" cy="3880049"/>
                    </a:xfrm>
                    <a:prstGeom prst="rect">
                      <a:avLst/>
                    </a:prstGeom>
                  </pic:spPr>
                </pic:pic>
              </a:graphicData>
            </a:graphic>
          </wp:inline>
        </w:drawing>
      </w:r>
    </w:p>
    <w:p w14:paraId="04987E92" w14:textId="693C483B" w:rsidR="00C965C9" w:rsidRDefault="00C965C9" w:rsidP="009C1BC8">
      <w:pPr>
        <w:pStyle w:val="Default"/>
        <w:spacing w:line="276" w:lineRule="auto"/>
        <w:rPr>
          <w:rFonts w:cs="Times New Roman"/>
          <w:b/>
          <w:bCs/>
          <w:color w:val="000000" w:themeColor="text1"/>
          <w:sz w:val="20"/>
          <w:szCs w:val="20"/>
          <w:u w:val="single"/>
        </w:rPr>
      </w:pPr>
    </w:p>
    <w:p w14:paraId="48ABEB2E" w14:textId="59710B2A" w:rsidR="00C965C9" w:rsidRDefault="00C965C9" w:rsidP="009C1BC8">
      <w:pPr>
        <w:pStyle w:val="Default"/>
        <w:spacing w:line="276" w:lineRule="auto"/>
        <w:rPr>
          <w:b/>
          <w:sz w:val="20"/>
        </w:rPr>
      </w:pPr>
      <w:r w:rsidRPr="00C965C9">
        <w:rPr>
          <w:rFonts w:cs="Times New Roman"/>
          <w:b/>
          <w:bCs/>
          <w:color w:val="000000" w:themeColor="text1"/>
          <w:sz w:val="20"/>
          <w:szCs w:val="20"/>
        </w:rPr>
        <w:t>3</w:t>
      </w:r>
      <w:r>
        <w:rPr>
          <w:rFonts w:cs="Times New Roman"/>
          <w:b/>
          <w:bCs/>
          <w:color w:val="000000" w:themeColor="text1"/>
          <w:sz w:val="20"/>
          <w:szCs w:val="20"/>
        </w:rPr>
        <w:tab/>
      </w:r>
      <w:r>
        <w:rPr>
          <w:b/>
          <w:sz w:val="20"/>
        </w:rPr>
        <w:t>Sequence Numbers</w:t>
      </w:r>
    </w:p>
    <w:p w14:paraId="60C63794" w14:textId="5ABC2D2B" w:rsidR="00C965C9" w:rsidRDefault="00C965C9" w:rsidP="009C1BC8">
      <w:pPr>
        <w:pStyle w:val="Default"/>
        <w:spacing w:line="276" w:lineRule="auto"/>
        <w:rPr>
          <w:b/>
          <w:sz w:val="20"/>
        </w:rPr>
      </w:pPr>
      <w:r>
        <w:rPr>
          <w:b/>
          <w:sz w:val="20"/>
        </w:rPr>
        <w:t xml:space="preserve">         </w:t>
      </w:r>
      <w:r w:rsidRPr="00C965C9">
        <w:rPr>
          <w:b/>
          <w:sz w:val="20"/>
        </w:rPr>
        <w:drawing>
          <wp:inline distT="0" distB="0" distL="0" distR="0" wp14:anchorId="64407E8D" wp14:editId="1943D7D8">
            <wp:extent cx="7594990" cy="5099312"/>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94990" cy="5099312"/>
                    </a:xfrm>
                    <a:prstGeom prst="rect">
                      <a:avLst/>
                    </a:prstGeom>
                  </pic:spPr>
                </pic:pic>
              </a:graphicData>
            </a:graphic>
          </wp:inline>
        </w:drawing>
      </w:r>
    </w:p>
    <w:p w14:paraId="43950DA0" w14:textId="5A2FF0D2" w:rsidR="00C965C9" w:rsidRDefault="00C965C9" w:rsidP="00C965C9">
      <w:pPr>
        <w:spacing w:after="0" w:line="240" w:lineRule="auto"/>
        <w:ind w:left="360"/>
        <w:rPr>
          <w:rFonts w:cs="Arial"/>
          <w:b/>
          <w:color w:val="000000"/>
          <w:sz w:val="24"/>
          <w:szCs w:val="24"/>
        </w:rPr>
      </w:pPr>
      <w:r>
        <w:rPr>
          <w:b/>
          <w:sz w:val="24"/>
          <w:szCs w:val="24"/>
        </w:rPr>
        <w:t>4</w:t>
      </w:r>
      <w:r w:rsidRPr="00C965C9">
        <w:rPr>
          <w:b/>
          <w:sz w:val="24"/>
          <w:szCs w:val="24"/>
        </w:rPr>
        <w:tab/>
      </w:r>
      <w:r w:rsidRPr="00C965C9">
        <w:rPr>
          <w:rFonts w:cs="Arial"/>
          <w:b/>
          <w:color w:val="000000"/>
          <w:sz w:val="24"/>
          <w:szCs w:val="24"/>
        </w:rPr>
        <w:t xml:space="preserve">Account classes must be setup correctly and subsequently each </w:t>
      </w:r>
      <w:proofErr w:type="spellStart"/>
      <w:r w:rsidRPr="00C965C9">
        <w:rPr>
          <w:rFonts w:cs="Arial"/>
          <w:b/>
          <w:color w:val="000000"/>
          <w:sz w:val="24"/>
          <w:szCs w:val="24"/>
        </w:rPr>
        <w:t>gl</w:t>
      </w:r>
      <w:proofErr w:type="spellEnd"/>
      <w:r w:rsidRPr="00C965C9">
        <w:rPr>
          <w:rFonts w:cs="Arial"/>
          <w:b/>
          <w:color w:val="000000"/>
          <w:sz w:val="24"/>
          <w:szCs w:val="24"/>
        </w:rPr>
        <w:t xml:space="preserve"> account be classified correctly.  This is important in determining </w:t>
      </w:r>
      <w:proofErr w:type="gramStart"/>
      <w:r w:rsidRPr="00C965C9">
        <w:rPr>
          <w:rFonts w:cs="Arial"/>
          <w:b/>
          <w:color w:val="000000"/>
          <w:sz w:val="24"/>
          <w:szCs w:val="24"/>
        </w:rPr>
        <w:t>whe</w:t>
      </w:r>
      <w:r>
        <w:rPr>
          <w:rFonts w:cs="Arial"/>
          <w:b/>
          <w:color w:val="000000"/>
          <w:sz w:val="24"/>
          <w:szCs w:val="24"/>
        </w:rPr>
        <w:t>t</w:t>
      </w:r>
      <w:r w:rsidRPr="00C965C9">
        <w:rPr>
          <w:rFonts w:cs="Arial"/>
          <w:b/>
          <w:color w:val="000000"/>
          <w:sz w:val="24"/>
          <w:szCs w:val="24"/>
        </w:rPr>
        <w:t>her</w:t>
      </w:r>
      <w:r w:rsidRPr="00C965C9">
        <w:rPr>
          <w:rFonts w:cs="Arial"/>
          <w:b/>
          <w:color w:val="000000"/>
          <w:sz w:val="24"/>
          <w:szCs w:val="24"/>
        </w:rPr>
        <w:t xml:space="preserve"> or not</w:t>
      </w:r>
      <w:proofErr w:type="gramEnd"/>
      <w:r w:rsidRPr="00C965C9">
        <w:rPr>
          <w:rFonts w:cs="Arial"/>
          <w:b/>
          <w:color w:val="000000"/>
          <w:sz w:val="24"/>
          <w:szCs w:val="24"/>
        </w:rPr>
        <w:t xml:space="preserve"> to carry forward opening balances into a new year.</w:t>
      </w:r>
    </w:p>
    <w:p w14:paraId="7C369981" w14:textId="55ABD54F" w:rsidR="00C965C9" w:rsidRDefault="00C965C9" w:rsidP="00C965C9">
      <w:pPr>
        <w:spacing w:after="0" w:line="240" w:lineRule="auto"/>
        <w:ind w:left="360"/>
        <w:rPr>
          <w:rFonts w:cs="Arial"/>
          <w:b/>
          <w:color w:val="000000"/>
          <w:sz w:val="24"/>
          <w:szCs w:val="24"/>
        </w:rPr>
      </w:pPr>
    </w:p>
    <w:p w14:paraId="3C2323D2" w14:textId="34387060" w:rsidR="00C965C9" w:rsidRDefault="00C965C9" w:rsidP="00C965C9">
      <w:pPr>
        <w:spacing w:after="0" w:line="240" w:lineRule="auto"/>
        <w:ind w:left="360"/>
        <w:rPr>
          <w:rFonts w:cs="Arial"/>
          <w:b/>
          <w:color w:val="000000"/>
          <w:sz w:val="24"/>
          <w:szCs w:val="24"/>
        </w:rPr>
      </w:pPr>
      <w:r w:rsidRPr="00C965C9">
        <w:rPr>
          <w:rFonts w:cs="Arial"/>
          <w:b/>
          <w:color w:val="000000"/>
          <w:sz w:val="24"/>
          <w:szCs w:val="24"/>
        </w:rPr>
        <w:drawing>
          <wp:inline distT="0" distB="0" distL="0" distR="0" wp14:anchorId="73716EDA" wp14:editId="61B69329">
            <wp:extent cx="8268125" cy="3988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68125" cy="3988005"/>
                    </a:xfrm>
                    <a:prstGeom prst="rect">
                      <a:avLst/>
                    </a:prstGeom>
                  </pic:spPr>
                </pic:pic>
              </a:graphicData>
            </a:graphic>
          </wp:inline>
        </w:drawing>
      </w:r>
    </w:p>
    <w:p w14:paraId="743BDC9A" w14:textId="1123CD23" w:rsidR="00C965C9" w:rsidRDefault="00C965C9" w:rsidP="00C965C9">
      <w:pPr>
        <w:spacing w:after="0" w:line="240" w:lineRule="auto"/>
        <w:ind w:left="360"/>
        <w:rPr>
          <w:rFonts w:cs="Arial"/>
          <w:b/>
          <w:color w:val="000000"/>
          <w:sz w:val="24"/>
          <w:szCs w:val="24"/>
        </w:rPr>
      </w:pPr>
      <w:r>
        <w:rPr>
          <w:rFonts w:cs="Arial"/>
          <w:b/>
          <w:color w:val="000000"/>
          <w:sz w:val="24"/>
          <w:szCs w:val="24"/>
        </w:rPr>
        <w:t xml:space="preserve">5 </w:t>
      </w:r>
      <w:r w:rsidRPr="00C965C9">
        <w:rPr>
          <w:b/>
          <w:bCs/>
        </w:rPr>
        <w:t>Items that must be performed prior to closing a year:</w:t>
      </w:r>
    </w:p>
    <w:p w14:paraId="7742F4A6" w14:textId="258184BE" w:rsidR="00C965C9" w:rsidRDefault="00C965C9" w:rsidP="00C965C9">
      <w:pPr>
        <w:spacing w:after="0" w:line="240" w:lineRule="auto"/>
        <w:ind w:left="360"/>
        <w:rPr>
          <w:rFonts w:cs="Arial"/>
          <w:b/>
          <w:color w:val="000000"/>
          <w:sz w:val="24"/>
          <w:szCs w:val="24"/>
        </w:rPr>
      </w:pPr>
    </w:p>
    <w:p w14:paraId="089B36D8" w14:textId="77777777" w:rsidR="00C965C9" w:rsidRDefault="00C965C9" w:rsidP="00C965C9">
      <w:pPr>
        <w:pStyle w:val="BodyText"/>
        <w:numPr>
          <w:ilvl w:val="0"/>
          <w:numId w:val="3"/>
        </w:numPr>
        <w:spacing w:before="60" w:after="60"/>
        <w:jc w:val="both"/>
      </w:pPr>
      <w:r>
        <w:t>Set SUP General Parameter ENDDAT to 12/31/xx, where xx is a couple of years in the future.</w:t>
      </w:r>
    </w:p>
    <w:p w14:paraId="4593A8C0" w14:textId="77777777" w:rsidR="00C965C9" w:rsidRDefault="00C965C9" w:rsidP="00C965C9">
      <w:pPr>
        <w:pStyle w:val="BodyText"/>
        <w:numPr>
          <w:ilvl w:val="0"/>
          <w:numId w:val="3"/>
        </w:numPr>
        <w:spacing w:before="60" w:after="60"/>
        <w:jc w:val="both"/>
      </w:pPr>
      <w:r>
        <w:t xml:space="preserve">The next fiscal year must be opened prior to closing the current fiscal year. </w:t>
      </w:r>
    </w:p>
    <w:p w14:paraId="4CBDB500" w14:textId="77777777" w:rsidR="00C965C9" w:rsidRDefault="00C965C9" w:rsidP="00C965C9">
      <w:pPr>
        <w:pStyle w:val="BodyText"/>
        <w:numPr>
          <w:ilvl w:val="0"/>
          <w:numId w:val="3"/>
        </w:numPr>
        <w:spacing w:before="60" w:after="60"/>
        <w:jc w:val="both"/>
      </w:pPr>
      <w:r>
        <w:t xml:space="preserve">Execute the Dimension Balance Recovery function if necessary.  This function need only be run if the dimension views have changed or new dimension views have been added. </w:t>
      </w:r>
    </w:p>
    <w:p w14:paraId="24D5A661" w14:textId="77777777" w:rsidR="00C965C9" w:rsidRDefault="00C965C9" w:rsidP="00C965C9">
      <w:pPr>
        <w:pStyle w:val="BodyText"/>
        <w:numPr>
          <w:ilvl w:val="0"/>
          <w:numId w:val="3"/>
        </w:numPr>
        <w:spacing w:before="60" w:after="60"/>
        <w:jc w:val="both"/>
      </w:pPr>
      <w:r>
        <w:t>All invoices must be validated.</w:t>
      </w:r>
    </w:p>
    <w:p w14:paraId="335CA7DD" w14:textId="77777777" w:rsidR="00C965C9" w:rsidRDefault="00C965C9" w:rsidP="00C965C9">
      <w:pPr>
        <w:pStyle w:val="BodyText"/>
        <w:numPr>
          <w:ilvl w:val="0"/>
          <w:numId w:val="3"/>
        </w:numPr>
        <w:spacing w:before="60" w:after="60"/>
        <w:jc w:val="both"/>
      </w:pPr>
      <w:r>
        <w:t>All receipts and payments must be validated (Batch Posting).</w:t>
      </w:r>
    </w:p>
    <w:p w14:paraId="04A08DD9" w14:textId="77777777" w:rsidR="00C965C9" w:rsidRDefault="00C965C9" w:rsidP="00C965C9">
      <w:pPr>
        <w:pStyle w:val="BodyText"/>
        <w:numPr>
          <w:ilvl w:val="0"/>
          <w:numId w:val="3"/>
        </w:numPr>
        <w:spacing w:before="60" w:after="60"/>
        <w:jc w:val="both"/>
      </w:pPr>
      <w:r>
        <w:t>All recurring journal entries must be generated and posted.</w:t>
      </w:r>
    </w:p>
    <w:p w14:paraId="1E6E7907" w14:textId="77777777" w:rsidR="00C965C9" w:rsidRDefault="00C965C9" w:rsidP="00C965C9">
      <w:pPr>
        <w:pStyle w:val="BodyText"/>
        <w:numPr>
          <w:ilvl w:val="0"/>
          <w:numId w:val="3"/>
        </w:numPr>
        <w:spacing w:before="60" w:after="60"/>
        <w:jc w:val="both"/>
      </w:pPr>
      <w:r>
        <w:t>Final Validation must be performed on all journals prior to closing. This is a batch function within G/L Accounting. This will turn all Temporary journals to Final. Also note that if the company is using Simulation journals, there may be other functions to execute prior to Final Validation such as changing the status of Simulated journals to Actual journals.</w:t>
      </w:r>
    </w:p>
    <w:p w14:paraId="0F25C80E" w14:textId="77777777" w:rsidR="00C965C9" w:rsidRDefault="00C965C9" w:rsidP="00C965C9">
      <w:pPr>
        <w:pStyle w:val="BodyText"/>
        <w:numPr>
          <w:ilvl w:val="0"/>
          <w:numId w:val="3"/>
        </w:numPr>
        <w:spacing w:before="60" w:after="60"/>
        <w:jc w:val="both"/>
      </w:pPr>
      <w:r>
        <w:rPr>
          <w:bCs/>
        </w:rPr>
        <w:t xml:space="preserve">Price updates for the next year must be entered.  </w:t>
      </w:r>
    </w:p>
    <w:p w14:paraId="377871A4" w14:textId="77777777" w:rsidR="00C965C9" w:rsidRDefault="00C965C9" w:rsidP="00C965C9">
      <w:pPr>
        <w:pStyle w:val="BodyText"/>
        <w:numPr>
          <w:ilvl w:val="0"/>
          <w:numId w:val="3"/>
        </w:numPr>
        <w:spacing w:before="60" w:after="60"/>
        <w:jc w:val="both"/>
      </w:pPr>
      <w:r>
        <w:rPr>
          <w:bCs/>
        </w:rPr>
        <w:t xml:space="preserve">Cost transfers/cost calculations must be entered/updated for the next fiscal year.  </w:t>
      </w:r>
    </w:p>
    <w:p w14:paraId="22AC6F08" w14:textId="77777777" w:rsidR="00C965C9" w:rsidRDefault="00C965C9" w:rsidP="00C965C9">
      <w:pPr>
        <w:pStyle w:val="BodyText"/>
        <w:numPr>
          <w:ilvl w:val="0"/>
          <w:numId w:val="3"/>
        </w:numPr>
        <w:spacing w:before="60" w:after="60"/>
        <w:jc w:val="both"/>
      </w:pPr>
      <w:r>
        <w:t>Close all periods for Current Fiscal Year (see Monthly Closing document for items to be performed for monthly closes).</w:t>
      </w:r>
    </w:p>
    <w:p w14:paraId="74CE3C5F" w14:textId="09F89095" w:rsidR="00C965C9" w:rsidRPr="00C965C9" w:rsidRDefault="00C965C9" w:rsidP="00C965C9">
      <w:pPr>
        <w:pStyle w:val="ListParagraph"/>
        <w:numPr>
          <w:ilvl w:val="0"/>
          <w:numId w:val="3"/>
        </w:numPr>
        <w:spacing w:after="0" w:line="240" w:lineRule="auto"/>
        <w:rPr>
          <w:rFonts w:cs="Arial"/>
          <w:b/>
          <w:color w:val="000000"/>
          <w:sz w:val="24"/>
          <w:szCs w:val="24"/>
        </w:rPr>
      </w:pPr>
      <w:r>
        <w:t>All users must be out of Sage ERP</w:t>
      </w:r>
    </w:p>
    <w:p w14:paraId="31DAF0F2" w14:textId="77777777" w:rsidR="00C965C9" w:rsidRPr="00C965C9" w:rsidRDefault="00C965C9" w:rsidP="00C965C9">
      <w:pPr>
        <w:pStyle w:val="BodyText"/>
        <w:ind w:left="6172"/>
      </w:pPr>
    </w:p>
    <w:p w14:paraId="5C6D65DF" w14:textId="77777777" w:rsidR="00C965C9" w:rsidRDefault="00C965C9" w:rsidP="00C965C9">
      <w:pPr>
        <w:pStyle w:val="BodyText"/>
        <w:rPr>
          <w:b/>
          <w:bCs/>
        </w:rPr>
      </w:pPr>
    </w:p>
    <w:p w14:paraId="159F453A" w14:textId="277C08E1" w:rsidR="00C965C9" w:rsidRDefault="00C965C9" w:rsidP="00C965C9">
      <w:pPr>
        <w:pStyle w:val="BodyText"/>
      </w:pPr>
      <w:r w:rsidRPr="00C965C9">
        <w:rPr>
          <w:b/>
          <w:bCs/>
        </w:rPr>
        <w:t>Not</w:t>
      </w:r>
      <w:r w:rsidRPr="00C965C9">
        <w:rPr>
          <w:b/>
          <w:bCs/>
        </w:rPr>
        <w:t>e:</w:t>
      </w:r>
      <w:r w:rsidRPr="00C965C9">
        <w:rPr>
          <w:b/>
          <w:bCs/>
        </w:rPr>
        <w:t xml:space="preserve"> </w:t>
      </w:r>
      <w:r>
        <w:t xml:space="preserve">There is a Pre-Closing verification report named </w:t>
      </w:r>
      <w:r w:rsidRPr="00C965C9">
        <w:rPr>
          <w:i/>
          <w:iCs/>
        </w:rPr>
        <w:t>CLOPER</w:t>
      </w:r>
      <w:r>
        <w:t xml:space="preserve"> that should be run before the year-end close is attempted.  This report will list out any open items that need to be addressed before a successful year-end close can be performed.</w:t>
      </w:r>
    </w:p>
    <w:p w14:paraId="1FCF6BD6" w14:textId="6BE9F673" w:rsidR="00C965C9" w:rsidRDefault="00C965C9" w:rsidP="00C965C9">
      <w:pPr>
        <w:spacing w:after="0" w:line="240" w:lineRule="auto"/>
        <w:rPr>
          <w:rFonts w:cs="Arial"/>
          <w:b/>
          <w:color w:val="000000"/>
          <w:sz w:val="24"/>
          <w:szCs w:val="24"/>
        </w:rPr>
      </w:pPr>
    </w:p>
    <w:p w14:paraId="09A07CD6" w14:textId="2EE79A39" w:rsidR="00C965C9" w:rsidRPr="00C965C9" w:rsidRDefault="00C965C9" w:rsidP="00C965C9">
      <w:pPr>
        <w:spacing w:after="0" w:line="240" w:lineRule="auto"/>
        <w:rPr>
          <w:rFonts w:cs="Arial"/>
          <w:b/>
          <w:bCs/>
          <w:color w:val="000000"/>
          <w:sz w:val="24"/>
          <w:szCs w:val="24"/>
        </w:rPr>
      </w:pPr>
      <w:r w:rsidRPr="00C965C9">
        <w:rPr>
          <w:b/>
          <w:bCs/>
          <w:u w:val="single"/>
        </w:rPr>
        <w:t>Year End Process</w:t>
      </w:r>
    </w:p>
    <w:p w14:paraId="66246A69" w14:textId="06144A90" w:rsidR="00C965C9" w:rsidRDefault="00C965C9" w:rsidP="00C965C9">
      <w:pPr>
        <w:spacing w:after="0" w:line="240" w:lineRule="auto"/>
        <w:rPr>
          <w:rFonts w:cs="Arial"/>
          <w:b/>
          <w:color w:val="000000"/>
          <w:sz w:val="20"/>
        </w:rPr>
      </w:pPr>
    </w:p>
    <w:p w14:paraId="2EFBE112" w14:textId="77777777" w:rsidR="00C965C9" w:rsidRDefault="00C965C9" w:rsidP="00C965C9">
      <w:pPr>
        <w:pStyle w:val="BodyText"/>
      </w:pPr>
      <w:r>
        <w:t>The Year End Process will shut down the Journal Status Monitor. Therefore, when executing Year End, the log displays 2 journals</w:t>
      </w:r>
    </w:p>
    <w:p w14:paraId="72CC498D" w14:textId="77777777" w:rsidR="00C965C9" w:rsidRDefault="00C965C9" w:rsidP="00C965C9">
      <w:pPr>
        <w:pStyle w:val="BodyText"/>
        <w:rPr>
          <w:i/>
          <w:iCs/>
        </w:rPr>
      </w:pPr>
      <w:r>
        <w:t xml:space="preserve"> with NEWNP document types. The first entry closes out the current fiscal year </w:t>
      </w:r>
      <w:r>
        <w:rPr>
          <w:i/>
          <w:iCs/>
        </w:rPr>
        <w:t xml:space="preserve">(Rolls forward Balance Sheet account balances and </w:t>
      </w:r>
    </w:p>
    <w:p w14:paraId="70469147" w14:textId="77777777" w:rsidR="00C965C9" w:rsidRDefault="00C965C9" w:rsidP="00C965C9">
      <w:pPr>
        <w:pStyle w:val="BodyText"/>
      </w:pPr>
      <w:r>
        <w:rPr>
          <w:i/>
          <w:iCs/>
        </w:rPr>
        <w:t>posts the Net Income/Loss to the New Period Suspense account – ANOUVO)</w:t>
      </w:r>
      <w:r>
        <w:t>.  The second entry clears out the New Period Suspense</w:t>
      </w:r>
    </w:p>
    <w:p w14:paraId="0CFD2A97" w14:textId="6BBEDEB8" w:rsidR="00C965C9" w:rsidRDefault="00C965C9" w:rsidP="00C965C9">
      <w:pPr>
        <w:pStyle w:val="BodyText"/>
      </w:pPr>
      <w:r>
        <w:t xml:space="preserve"> account and DR/CR the Retained Earnings account. </w:t>
      </w:r>
      <w:proofErr w:type="gramStart"/>
      <w:r>
        <w:t>In order to</w:t>
      </w:r>
      <w:proofErr w:type="gramEnd"/>
      <w:r>
        <w:t xml:space="preserve"> view the closing journals, the </w:t>
      </w:r>
      <w:r>
        <w:rPr>
          <w:bCs/>
        </w:rPr>
        <w:t>Journal Status Monitor must be restarted</w:t>
      </w:r>
      <w:r>
        <w:t xml:space="preserve">. </w:t>
      </w:r>
    </w:p>
    <w:p w14:paraId="14731F46" w14:textId="1F837F99" w:rsidR="00C965C9" w:rsidRDefault="00C965C9" w:rsidP="00C965C9">
      <w:pPr>
        <w:pStyle w:val="BodyText"/>
      </w:pPr>
    </w:p>
    <w:p w14:paraId="559D5CF9" w14:textId="1B8314D9" w:rsidR="00C965C9" w:rsidRDefault="00C965C9" w:rsidP="00C965C9">
      <w:pPr>
        <w:pStyle w:val="BodyText"/>
      </w:pPr>
      <w:r>
        <w:t>Note:  The ‘Closing Document’ field should be blank (this feature is not typically used in the US</w:t>
      </w:r>
      <w:r>
        <w:t xml:space="preserve"> legislation</w:t>
      </w:r>
      <w:r>
        <w:t xml:space="preserve">).  </w:t>
      </w:r>
    </w:p>
    <w:p w14:paraId="0EC384A1" w14:textId="7DC3C603" w:rsidR="00C965C9" w:rsidRDefault="00C965C9" w:rsidP="00C965C9">
      <w:pPr>
        <w:pStyle w:val="BodyText"/>
      </w:pPr>
    </w:p>
    <w:p w14:paraId="5A9063C3" w14:textId="07E174AD" w:rsidR="00C965C9" w:rsidRDefault="00527BE1" w:rsidP="00C965C9">
      <w:pPr>
        <w:pStyle w:val="BodyText"/>
      </w:pPr>
      <w:r w:rsidRPr="00527BE1">
        <w:drawing>
          <wp:inline distT="0" distB="0" distL="0" distR="0" wp14:anchorId="74F2E921" wp14:editId="25E67B8B">
            <wp:extent cx="9163521" cy="27623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63521" cy="2762392"/>
                    </a:xfrm>
                    <a:prstGeom prst="rect">
                      <a:avLst/>
                    </a:prstGeom>
                  </pic:spPr>
                </pic:pic>
              </a:graphicData>
            </a:graphic>
          </wp:inline>
        </w:drawing>
      </w:r>
    </w:p>
    <w:p w14:paraId="6F45C31F" w14:textId="625B77E4" w:rsidR="00527BE1" w:rsidRDefault="00527BE1" w:rsidP="00C965C9">
      <w:pPr>
        <w:pStyle w:val="BodyText"/>
      </w:pPr>
    </w:p>
    <w:p w14:paraId="0394A5B9" w14:textId="77777777" w:rsidR="00527BE1" w:rsidRDefault="00527BE1" w:rsidP="00527BE1">
      <w:pPr>
        <w:pStyle w:val="BodyText"/>
      </w:pPr>
      <w:r>
        <w:t xml:space="preserve">The two </w:t>
      </w:r>
      <w:r w:rsidRPr="000D0260">
        <w:rPr>
          <w:b/>
          <w:i/>
        </w:rPr>
        <w:t>sample</w:t>
      </w:r>
      <w:r>
        <w:t xml:space="preserve"> closing journals are referenced below:</w:t>
      </w:r>
    </w:p>
    <w:p w14:paraId="6A135AF0" w14:textId="7882724B" w:rsidR="00527BE1" w:rsidRDefault="00527BE1" w:rsidP="00C965C9">
      <w:pPr>
        <w:pStyle w:val="BodyText"/>
      </w:pPr>
      <w:r>
        <w:rPr>
          <w:b/>
          <w:noProof/>
        </w:rPr>
        <w:drawing>
          <wp:inline distT="0" distB="0" distL="0" distR="0" wp14:anchorId="04C7682C" wp14:editId="6E391197">
            <wp:extent cx="6490335" cy="5347335"/>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335" cy="5347335"/>
                    </a:xfrm>
                    <a:prstGeom prst="rect">
                      <a:avLst/>
                    </a:prstGeom>
                    <a:noFill/>
                    <a:ln>
                      <a:noFill/>
                    </a:ln>
                  </pic:spPr>
                </pic:pic>
              </a:graphicData>
            </a:graphic>
          </wp:inline>
        </w:drawing>
      </w:r>
    </w:p>
    <w:p w14:paraId="3F678D86" w14:textId="6E1F54AD" w:rsidR="00527BE1" w:rsidRDefault="00527BE1" w:rsidP="00C965C9">
      <w:pPr>
        <w:pStyle w:val="BodyText"/>
      </w:pPr>
      <w:r>
        <w:rPr>
          <w:b/>
          <w:noProof/>
        </w:rPr>
        <w:drawing>
          <wp:inline distT="0" distB="0" distL="0" distR="0" wp14:anchorId="161C9A1F" wp14:editId="0CE5FCC9">
            <wp:extent cx="6490335" cy="5307330"/>
            <wp:effectExtent l="0" t="0" r="571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0335" cy="5307330"/>
                    </a:xfrm>
                    <a:prstGeom prst="rect">
                      <a:avLst/>
                    </a:prstGeom>
                    <a:noFill/>
                    <a:ln>
                      <a:noFill/>
                    </a:ln>
                  </pic:spPr>
                </pic:pic>
              </a:graphicData>
            </a:graphic>
          </wp:inline>
        </w:drawing>
      </w:r>
    </w:p>
    <w:p w14:paraId="06C8A5F6" w14:textId="77777777" w:rsidR="00527BE1" w:rsidRDefault="00527BE1" w:rsidP="00C965C9">
      <w:pPr>
        <w:pStyle w:val="BodyText"/>
      </w:pPr>
    </w:p>
    <w:p w14:paraId="67CCA5F2" w14:textId="77777777" w:rsidR="00527BE1" w:rsidRDefault="00527BE1" w:rsidP="00C965C9">
      <w:pPr>
        <w:pStyle w:val="BodyText"/>
      </w:pPr>
    </w:p>
    <w:p w14:paraId="197BE8B2" w14:textId="419AB28E" w:rsidR="00C965C9" w:rsidRDefault="00C965C9" w:rsidP="00C965C9">
      <w:pPr>
        <w:pStyle w:val="BodyText"/>
      </w:pPr>
    </w:p>
    <w:p w14:paraId="66C0CCC6" w14:textId="77777777" w:rsidR="00C965C9" w:rsidRDefault="00C965C9" w:rsidP="00C965C9">
      <w:pPr>
        <w:pStyle w:val="BodyText"/>
      </w:pPr>
    </w:p>
    <w:p w14:paraId="12C2C8C8" w14:textId="77777777" w:rsidR="00C965C9" w:rsidRDefault="00C965C9" w:rsidP="00C965C9">
      <w:pPr>
        <w:pStyle w:val="BodyText"/>
      </w:pPr>
    </w:p>
    <w:p w14:paraId="60D561F8" w14:textId="751C60ED" w:rsidR="00C965C9" w:rsidRDefault="00C965C9" w:rsidP="00C965C9">
      <w:pPr>
        <w:pStyle w:val="BodyText"/>
      </w:pPr>
    </w:p>
    <w:p w14:paraId="5CBF4B46" w14:textId="77777777" w:rsidR="00C965C9" w:rsidRDefault="00C965C9" w:rsidP="00C965C9">
      <w:pPr>
        <w:pStyle w:val="BodyText"/>
      </w:pPr>
    </w:p>
    <w:p w14:paraId="67579B80" w14:textId="77777777" w:rsidR="00C965C9" w:rsidRDefault="00C965C9" w:rsidP="00C965C9">
      <w:pPr>
        <w:pStyle w:val="BodyText"/>
      </w:pPr>
    </w:p>
    <w:p w14:paraId="537D1F39" w14:textId="77777777" w:rsidR="00C965C9" w:rsidRPr="009F3E9E" w:rsidRDefault="00C965C9" w:rsidP="00C965C9">
      <w:pPr>
        <w:spacing w:after="0" w:line="240" w:lineRule="auto"/>
        <w:rPr>
          <w:rFonts w:cs="Arial"/>
          <w:b/>
          <w:color w:val="000000"/>
          <w:sz w:val="20"/>
        </w:rPr>
      </w:pPr>
    </w:p>
    <w:p w14:paraId="35AFD75A" w14:textId="77777777" w:rsidR="00C965C9" w:rsidRPr="00C965C9" w:rsidRDefault="00C965C9" w:rsidP="00C965C9">
      <w:pPr>
        <w:spacing w:after="0" w:line="240" w:lineRule="auto"/>
        <w:ind w:left="360"/>
        <w:rPr>
          <w:rFonts w:cs="Arial"/>
          <w:b/>
          <w:color w:val="000000"/>
          <w:sz w:val="24"/>
          <w:szCs w:val="24"/>
        </w:rPr>
      </w:pPr>
    </w:p>
    <w:p w14:paraId="001DB134" w14:textId="48389E92" w:rsidR="00C965C9" w:rsidRPr="00C965C9" w:rsidRDefault="00C965C9" w:rsidP="009C1BC8">
      <w:pPr>
        <w:pStyle w:val="Default"/>
        <w:spacing w:line="276" w:lineRule="auto"/>
        <w:rPr>
          <w:rFonts w:cs="Times New Roman"/>
          <w:b/>
          <w:bCs/>
          <w:color w:val="000000" w:themeColor="text1"/>
          <w:sz w:val="20"/>
          <w:szCs w:val="20"/>
        </w:rPr>
      </w:pPr>
    </w:p>
    <w:p w14:paraId="4CFC9EB7" w14:textId="2216B499" w:rsidR="009C1BC8" w:rsidRDefault="009C1BC8" w:rsidP="009C1BC8">
      <w:pPr>
        <w:pStyle w:val="Default"/>
        <w:spacing w:line="276" w:lineRule="auto"/>
        <w:ind w:left="720"/>
        <w:rPr>
          <w:rFonts w:cs="Times New Roman"/>
          <w:b/>
          <w:bCs/>
          <w:color w:val="000000" w:themeColor="text1"/>
          <w:sz w:val="20"/>
          <w:szCs w:val="20"/>
          <w:u w:val="single"/>
        </w:rPr>
      </w:pPr>
    </w:p>
    <w:p w14:paraId="5C1B049B" w14:textId="77777777" w:rsidR="009C1BC8" w:rsidRPr="009C1BC8" w:rsidRDefault="009C1BC8" w:rsidP="009C1BC8">
      <w:pPr>
        <w:pStyle w:val="Default"/>
        <w:spacing w:line="276" w:lineRule="auto"/>
        <w:ind w:left="720"/>
        <w:rPr>
          <w:rFonts w:cs="Times New Roman"/>
          <w:b/>
          <w:bCs/>
          <w:color w:val="000000" w:themeColor="text1"/>
          <w:sz w:val="20"/>
          <w:szCs w:val="20"/>
          <w:u w:val="single"/>
        </w:rPr>
      </w:pPr>
    </w:p>
    <w:sectPr w:rsidR="009C1BC8" w:rsidRPr="009C1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558E6"/>
    <w:multiLevelType w:val="hybridMultilevel"/>
    <w:tmpl w:val="6DEC9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FE2E0C"/>
    <w:multiLevelType w:val="hybridMultilevel"/>
    <w:tmpl w:val="78166294"/>
    <w:lvl w:ilvl="0" w:tplc="F4364DBC">
      <w:start w:val="1"/>
      <w:numFmt w:val="decimal"/>
      <w:lvlText w:val="%1."/>
      <w:lvlJc w:val="left"/>
      <w:pPr>
        <w:ind w:left="72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07F177A"/>
    <w:multiLevelType w:val="hybridMultilevel"/>
    <w:tmpl w:val="B3008374"/>
    <w:lvl w:ilvl="0" w:tplc="0409000F">
      <w:start w:val="1"/>
      <w:numFmt w:val="decimal"/>
      <w:lvlText w:val="%1."/>
      <w:lvlJc w:val="left"/>
      <w:pPr>
        <w:tabs>
          <w:tab w:val="num" w:pos="6172"/>
        </w:tabs>
        <w:ind w:left="6172" w:hanging="360"/>
      </w:pPr>
    </w:lvl>
    <w:lvl w:ilvl="1" w:tplc="04090019" w:tentative="1">
      <w:start w:val="1"/>
      <w:numFmt w:val="lowerLetter"/>
      <w:lvlText w:val="%2."/>
      <w:lvlJc w:val="left"/>
      <w:pPr>
        <w:tabs>
          <w:tab w:val="num" w:pos="6892"/>
        </w:tabs>
        <w:ind w:left="6892" w:hanging="360"/>
      </w:pPr>
    </w:lvl>
    <w:lvl w:ilvl="2" w:tplc="0409001B" w:tentative="1">
      <w:start w:val="1"/>
      <w:numFmt w:val="lowerRoman"/>
      <w:lvlText w:val="%3."/>
      <w:lvlJc w:val="right"/>
      <w:pPr>
        <w:tabs>
          <w:tab w:val="num" w:pos="7612"/>
        </w:tabs>
        <w:ind w:left="7612" w:hanging="180"/>
      </w:pPr>
    </w:lvl>
    <w:lvl w:ilvl="3" w:tplc="0409000F" w:tentative="1">
      <w:start w:val="1"/>
      <w:numFmt w:val="decimal"/>
      <w:lvlText w:val="%4."/>
      <w:lvlJc w:val="left"/>
      <w:pPr>
        <w:tabs>
          <w:tab w:val="num" w:pos="8332"/>
        </w:tabs>
        <w:ind w:left="8332" w:hanging="360"/>
      </w:pPr>
    </w:lvl>
    <w:lvl w:ilvl="4" w:tplc="04090019" w:tentative="1">
      <w:start w:val="1"/>
      <w:numFmt w:val="lowerLetter"/>
      <w:lvlText w:val="%5."/>
      <w:lvlJc w:val="left"/>
      <w:pPr>
        <w:tabs>
          <w:tab w:val="num" w:pos="9052"/>
        </w:tabs>
        <w:ind w:left="9052" w:hanging="360"/>
      </w:pPr>
    </w:lvl>
    <w:lvl w:ilvl="5" w:tplc="0409001B" w:tentative="1">
      <w:start w:val="1"/>
      <w:numFmt w:val="lowerRoman"/>
      <w:lvlText w:val="%6."/>
      <w:lvlJc w:val="right"/>
      <w:pPr>
        <w:tabs>
          <w:tab w:val="num" w:pos="9772"/>
        </w:tabs>
        <w:ind w:left="9772" w:hanging="180"/>
      </w:pPr>
    </w:lvl>
    <w:lvl w:ilvl="6" w:tplc="0409000F" w:tentative="1">
      <w:start w:val="1"/>
      <w:numFmt w:val="decimal"/>
      <w:lvlText w:val="%7."/>
      <w:lvlJc w:val="left"/>
      <w:pPr>
        <w:tabs>
          <w:tab w:val="num" w:pos="10492"/>
        </w:tabs>
        <w:ind w:left="10492" w:hanging="360"/>
      </w:pPr>
    </w:lvl>
    <w:lvl w:ilvl="7" w:tplc="04090019" w:tentative="1">
      <w:start w:val="1"/>
      <w:numFmt w:val="lowerLetter"/>
      <w:lvlText w:val="%8."/>
      <w:lvlJc w:val="left"/>
      <w:pPr>
        <w:tabs>
          <w:tab w:val="num" w:pos="11212"/>
        </w:tabs>
        <w:ind w:left="11212" w:hanging="360"/>
      </w:pPr>
    </w:lvl>
    <w:lvl w:ilvl="8" w:tplc="0409001B" w:tentative="1">
      <w:start w:val="1"/>
      <w:numFmt w:val="lowerRoman"/>
      <w:lvlText w:val="%9."/>
      <w:lvlJc w:val="right"/>
      <w:pPr>
        <w:tabs>
          <w:tab w:val="num" w:pos="11932"/>
        </w:tabs>
        <w:ind w:left="1193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C8"/>
    <w:rsid w:val="00276507"/>
    <w:rsid w:val="00527BE1"/>
    <w:rsid w:val="00964AB7"/>
    <w:rsid w:val="009C1BC8"/>
    <w:rsid w:val="00C965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5E62"/>
  <w15:chartTrackingRefBased/>
  <w15:docId w15:val="{166C2A8D-F02C-4A54-A92F-9F5B9B1A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C1BC8"/>
    <w:pP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semiHidden/>
    <w:rsid w:val="009C1BC8"/>
    <w:rPr>
      <w:rFonts w:ascii="Arial" w:eastAsia="Times New Roman" w:hAnsi="Arial" w:cs="Times New Roman"/>
      <w:sz w:val="20"/>
      <w:szCs w:val="20"/>
      <w:lang w:val="en-US"/>
    </w:rPr>
  </w:style>
  <w:style w:type="paragraph" w:customStyle="1" w:styleId="Default">
    <w:name w:val="Default"/>
    <w:rsid w:val="009C1BC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C96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Rikhotso, Richard</dc:creator>
  <cp:keywords/>
  <dc:description/>
  <cp:lastModifiedBy>Rikhotso, Richard</cp:lastModifiedBy>
  <cp:revision>1</cp:revision>
  <dcterms:created xsi:type="dcterms:W3CDTF">2021-06-27T15:51:00Z</dcterms:created>
  <dcterms:modified xsi:type="dcterms:W3CDTF">2021-06-27T16:19:00Z</dcterms:modified>
</cp:coreProperties>
</file>